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79" w:rsidRPr="002661A7" w:rsidRDefault="00922A79" w:rsidP="00922A79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661A7">
        <w:rPr>
          <w:rFonts w:ascii="Times New Roman" w:hAnsi="Times New Roman" w:cs="Times New Roman"/>
          <w:b/>
          <w:sz w:val="24"/>
          <w:szCs w:val="24"/>
          <w:lang w:val="en-GB"/>
        </w:rPr>
        <w:t>CIVIL SOCIETY DIALOGUE BETWEEN THE EU AND TURKEY IV PROJECT</w:t>
      </w:r>
    </w:p>
    <w:p w:rsidR="002861C9" w:rsidRDefault="00883ED3" w:rsidP="00883ED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ED3">
        <w:rPr>
          <w:rFonts w:ascii="Times New Roman" w:hAnsi="Times New Roman" w:cs="Times New Roman"/>
          <w:sz w:val="24"/>
          <w:szCs w:val="24"/>
          <w:lang w:val="en-GB"/>
        </w:rPr>
        <w:t xml:space="preserve">The Ministry for EU Affairs has implemented the </w:t>
      </w:r>
      <w:r w:rsidRPr="00883ED3">
        <w:rPr>
          <w:rFonts w:ascii="Times New Roman" w:hAnsi="Times New Roman" w:cs="Times New Roman"/>
          <w:b/>
          <w:sz w:val="24"/>
          <w:szCs w:val="24"/>
          <w:lang w:val="en-GB"/>
        </w:rPr>
        <w:t>“Civil Society Dialogue between the EU and Turkey (CSD)</w:t>
      </w:r>
      <w:r w:rsidR="00F30A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Project” </w:t>
      </w:r>
      <w:r w:rsidRPr="00883ED3">
        <w:rPr>
          <w:rFonts w:ascii="Times New Roman" w:hAnsi="Times New Roman" w:cs="Times New Roman"/>
          <w:sz w:val="24"/>
          <w:szCs w:val="24"/>
          <w:lang w:val="en-GB"/>
        </w:rPr>
        <w:t xml:space="preserve">since 2008 with the aim of promoting cooperation among civil societies in the EU and Turkey. </w:t>
      </w:r>
      <w:r w:rsidR="002861C9">
        <w:rPr>
          <w:rFonts w:ascii="Times New Roman" w:hAnsi="Times New Roman" w:cs="Times New Roman"/>
          <w:sz w:val="24"/>
          <w:szCs w:val="24"/>
          <w:lang w:val="en-GB"/>
        </w:rPr>
        <w:t>The project is funded under the “Instrument for Pre-Accession Assistance (IPA)”.</w:t>
      </w:r>
    </w:p>
    <w:p w:rsidR="00883ED3" w:rsidRDefault="00883ED3" w:rsidP="00883ED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first phase of the project comprising the year</w:t>
      </w:r>
      <w:r w:rsidR="002861C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30A17">
        <w:rPr>
          <w:rFonts w:ascii="Times New Roman" w:hAnsi="Times New Roman" w:cs="Times New Roman"/>
          <w:sz w:val="24"/>
          <w:szCs w:val="24"/>
          <w:lang w:val="en-GB"/>
        </w:rPr>
        <w:t xml:space="preserve"> 2008-2009, </w:t>
      </w:r>
      <w:r>
        <w:rPr>
          <w:rFonts w:ascii="Times New Roman" w:hAnsi="Times New Roman" w:cs="Times New Roman"/>
          <w:sz w:val="24"/>
          <w:szCs w:val="24"/>
          <w:lang w:val="en-GB"/>
        </w:rPr>
        <w:t>funded 119 projects with a budget amounting to 19.3 million Euros</w:t>
      </w:r>
      <w:r w:rsidR="002861C9">
        <w:rPr>
          <w:rFonts w:ascii="Times New Roman" w:hAnsi="Times New Roman" w:cs="Times New Roman"/>
          <w:sz w:val="24"/>
          <w:szCs w:val="24"/>
          <w:lang w:val="en-GB"/>
        </w:rPr>
        <w:t xml:space="preserve">. Supported priority areas were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“Towns and Municipalities”, “Professional Organizations”, “Universities” and “Youth Initiatives for Dialogue”. The second phase of the project (2010-2012) funded 97 projects with a budget </w:t>
      </w:r>
      <w:r w:rsidR="002861C9">
        <w:rPr>
          <w:rFonts w:ascii="Times New Roman" w:hAnsi="Times New Roman" w:cs="Times New Roman"/>
          <w:sz w:val="24"/>
          <w:szCs w:val="24"/>
          <w:lang w:val="en-GB"/>
        </w:rPr>
        <w:t>amounting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 5</w:t>
      </w:r>
      <w:proofErr w:type="gramStart"/>
      <w:r w:rsidR="00F30A1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861C9">
        <w:rPr>
          <w:rFonts w:ascii="Times New Roman" w:hAnsi="Times New Roman" w:cs="Times New Roman"/>
          <w:sz w:val="24"/>
          <w:szCs w:val="24"/>
          <w:lang w:val="en-GB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million Euros in the fields </w:t>
      </w:r>
      <w:r w:rsidR="002861C9">
        <w:rPr>
          <w:rFonts w:ascii="Times New Roman" w:hAnsi="Times New Roman" w:cs="Times New Roman"/>
          <w:sz w:val="24"/>
          <w:szCs w:val="24"/>
          <w:lang w:val="en-GB"/>
        </w:rPr>
        <w:t>of “</w:t>
      </w:r>
      <w:r>
        <w:rPr>
          <w:rFonts w:ascii="Times New Roman" w:hAnsi="Times New Roman" w:cs="Times New Roman"/>
          <w:sz w:val="24"/>
          <w:szCs w:val="24"/>
          <w:lang w:val="en-GB"/>
        </w:rPr>
        <w:t>Agriculture and Fisheries”, “Culture and Arts” and “Micro Grant”.</w:t>
      </w:r>
    </w:p>
    <w:p w:rsidR="00883ED3" w:rsidRDefault="001802D2" w:rsidP="00883ED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Now under implementation, t</w:t>
      </w:r>
      <w:r w:rsidR="00883ED3">
        <w:rPr>
          <w:rFonts w:ascii="Times New Roman" w:hAnsi="Times New Roman" w:cs="Times New Roman"/>
          <w:sz w:val="24"/>
          <w:szCs w:val="24"/>
          <w:lang w:val="en-GB"/>
        </w:rPr>
        <w:t>he third phase of the</w:t>
      </w:r>
      <w:r w:rsidR="002861C9">
        <w:rPr>
          <w:rFonts w:ascii="Times New Roman" w:hAnsi="Times New Roman" w:cs="Times New Roman"/>
          <w:sz w:val="24"/>
          <w:szCs w:val="24"/>
          <w:lang w:val="en-GB"/>
        </w:rPr>
        <w:t xml:space="preserve"> project was commenced in October 2014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It </w:t>
      </w:r>
      <w:r w:rsidR="002861C9">
        <w:rPr>
          <w:rFonts w:ascii="Times New Roman" w:hAnsi="Times New Roman" w:cs="Times New Roman"/>
          <w:sz w:val="24"/>
          <w:szCs w:val="24"/>
          <w:lang w:val="en-GB"/>
        </w:rPr>
        <w:t xml:space="preserve">is comprised of three components being “Political Criteria”, “Media” and “Media Dialogue Seminars”. </w:t>
      </w:r>
      <w:r w:rsidR="00F30A17">
        <w:rPr>
          <w:rFonts w:ascii="Times New Roman" w:hAnsi="Times New Roman" w:cs="Times New Roman"/>
          <w:sz w:val="24"/>
          <w:szCs w:val="24"/>
          <w:lang w:val="en-GB"/>
        </w:rPr>
        <w:t xml:space="preserve">Currently, </w:t>
      </w:r>
      <w:r w:rsidR="002861C9">
        <w:rPr>
          <w:rFonts w:ascii="Times New Roman" w:hAnsi="Times New Roman" w:cs="Times New Roman"/>
          <w:sz w:val="24"/>
          <w:szCs w:val="24"/>
          <w:lang w:val="en-GB"/>
        </w:rPr>
        <w:t>55 projects are in the implementation phase. The total budget is 7 million Euros.</w:t>
      </w:r>
    </w:p>
    <w:p w:rsidR="00883ED3" w:rsidRPr="00883ED3" w:rsidRDefault="001802D2" w:rsidP="00883ED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 early 2015, the preparations for t</w:t>
      </w:r>
      <w:r w:rsidR="00883ED3" w:rsidRPr="00883ED3">
        <w:rPr>
          <w:rFonts w:ascii="Times New Roman" w:hAnsi="Times New Roman" w:cs="Times New Roman"/>
          <w:sz w:val="24"/>
          <w:szCs w:val="24"/>
          <w:lang w:val="en-GB"/>
        </w:rPr>
        <w:t xml:space="preserve">he fourth phase of the project, </w:t>
      </w:r>
      <w:r w:rsidR="00883ED3" w:rsidRPr="00883ED3">
        <w:rPr>
          <w:rFonts w:ascii="Times New Roman" w:hAnsi="Times New Roman" w:cs="Times New Roman"/>
          <w:b/>
          <w:sz w:val="24"/>
          <w:szCs w:val="24"/>
          <w:lang w:val="en-GB"/>
        </w:rPr>
        <w:t>“Civil Society Dialogue between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EU and Turkey IV (CSD IV)”, </w:t>
      </w:r>
      <w:r w:rsidRPr="001802D2">
        <w:rPr>
          <w:rFonts w:ascii="Times New Roman" w:hAnsi="Times New Roman" w:cs="Times New Roman"/>
          <w:sz w:val="24"/>
          <w:szCs w:val="24"/>
          <w:lang w:val="en-GB"/>
        </w:rPr>
        <w:t>have gained impetus.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project is supported with a total budget </w:t>
      </w:r>
      <w:r w:rsidRPr="002661A7">
        <w:rPr>
          <w:rFonts w:ascii="Times New Roman" w:hAnsi="Times New Roman" w:cs="Times New Roman"/>
          <w:sz w:val="24"/>
          <w:szCs w:val="24"/>
          <w:lang w:val="en-GB"/>
        </w:rPr>
        <w:t xml:space="preserve">of 11 million Euros.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9 priority areas are supported with separate grant schemes. </w:t>
      </w:r>
      <w:r w:rsidR="002861C9">
        <w:rPr>
          <w:rFonts w:ascii="Times New Roman" w:hAnsi="Times New Roman" w:cs="Times New Roman"/>
          <w:sz w:val="24"/>
          <w:szCs w:val="24"/>
          <w:lang w:val="en-GB"/>
        </w:rPr>
        <w:t xml:space="preserve">The calls for proposals for them </w:t>
      </w:r>
      <w:r>
        <w:rPr>
          <w:rFonts w:ascii="Times New Roman" w:hAnsi="Times New Roman" w:cs="Times New Roman"/>
          <w:sz w:val="24"/>
          <w:szCs w:val="24"/>
          <w:lang w:val="en-GB"/>
        </w:rPr>
        <w:t>have been announced between</w:t>
      </w:r>
      <w:r w:rsidR="002861C9">
        <w:rPr>
          <w:rFonts w:ascii="Times New Roman" w:hAnsi="Times New Roman" w:cs="Times New Roman"/>
          <w:sz w:val="24"/>
          <w:szCs w:val="24"/>
          <w:lang w:val="en-GB"/>
        </w:rPr>
        <w:t xml:space="preserve"> 27</w:t>
      </w:r>
      <w:r w:rsidR="002861C9" w:rsidRPr="002861C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2861C9">
        <w:rPr>
          <w:rFonts w:ascii="Times New Roman" w:hAnsi="Times New Roman" w:cs="Times New Roman"/>
          <w:sz w:val="24"/>
          <w:szCs w:val="24"/>
          <w:lang w:val="en-GB"/>
        </w:rPr>
        <w:t xml:space="preserve"> February and 4</w:t>
      </w:r>
      <w:r w:rsidR="002861C9" w:rsidRPr="002861C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2861C9">
        <w:rPr>
          <w:rFonts w:ascii="Times New Roman" w:hAnsi="Times New Roman" w:cs="Times New Roman"/>
          <w:sz w:val="24"/>
          <w:szCs w:val="24"/>
          <w:lang w:val="en-GB"/>
        </w:rPr>
        <w:t xml:space="preserve"> March 2015.</w:t>
      </w:r>
    </w:p>
    <w:p w:rsidR="00922A79" w:rsidRPr="002661A7" w:rsidRDefault="001802D2" w:rsidP="00922A7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Priority areas are the following: </w:t>
      </w:r>
      <w:r w:rsidR="00922A79" w:rsidRPr="002661A7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Environment; Energy; Consumer and Health Protection; Justice, Freedom and Security; Right of Establishment and Freedom to Provide Services; Regional Policy and Coordination of Structural Elements; Enterprise </w:t>
      </w:r>
      <w:r w:rsidR="00BD295C" w:rsidRPr="002661A7">
        <w:rPr>
          <w:rFonts w:ascii="Times New Roman" w:hAnsi="Times New Roman" w:cs="Times New Roman"/>
          <w:b/>
          <w:i/>
          <w:sz w:val="24"/>
          <w:szCs w:val="24"/>
          <w:lang w:val="en-GB"/>
        </w:rPr>
        <w:t>a</w:t>
      </w:r>
      <w:r w:rsidR="00922A79" w:rsidRPr="002661A7">
        <w:rPr>
          <w:rFonts w:ascii="Times New Roman" w:hAnsi="Times New Roman" w:cs="Times New Roman"/>
          <w:b/>
          <w:i/>
          <w:sz w:val="24"/>
          <w:szCs w:val="24"/>
          <w:lang w:val="en-GB"/>
        </w:rPr>
        <w:t>nd Industrial Polic</w:t>
      </w:r>
      <w:r w:rsidR="00BD295C" w:rsidRPr="002661A7">
        <w:rPr>
          <w:rFonts w:ascii="Times New Roman" w:hAnsi="Times New Roman" w:cs="Times New Roman"/>
          <w:b/>
          <w:i/>
          <w:sz w:val="24"/>
          <w:szCs w:val="24"/>
          <w:lang w:val="en-GB"/>
        </w:rPr>
        <w:t>y;</w:t>
      </w:r>
      <w:r w:rsidR="00922A79" w:rsidRPr="002661A7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Agriculture </w:t>
      </w:r>
      <w:r w:rsidR="00BD295C" w:rsidRPr="002661A7">
        <w:rPr>
          <w:rFonts w:ascii="Times New Roman" w:hAnsi="Times New Roman" w:cs="Times New Roman"/>
          <w:b/>
          <w:i/>
          <w:sz w:val="24"/>
          <w:szCs w:val="24"/>
          <w:lang w:val="en-GB"/>
        </w:rPr>
        <w:t>and Fisheries;</w:t>
      </w:r>
      <w:r w:rsidR="00922A79" w:rsidRPr="002661A7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="00BD295C" w:rsidRPr="002661A7">
        <w:rPr>
          <w:rFonts w:ascii="Times New Roman" w:hAnsi="Times New Roman" w:cs="Times New Roman"/>
          <w:b/>
          <w:i/>
          <w:sz w:val="24"/>
          <w:szCs w:val="24"/>
          <w:lang w:val="en-GB"/>
        </w:rPr>
        <w:t>a</w:t>
      </w:r>
      <w:r w:rsidR="00922A79" w:rsidRPr="002661A7">
        <w:rPr>
          <w:rFonts w:ascii="Times New Roman" w:hAnsi="Times New Roman" w:cs="Times New Roman"/>
          <w:b/>
          <w:i/>
          <w:sz w:val="24"/>
          <w:szCs w:val="24"/>
          <w:lang w:val="en-GB"/>
        </w:rPr>
        <w:t>nd Education.</w:t>
      </w:r>
    </w:p>
    <w:p w:rsidR="00922A79" w:rsidRDefault="001802D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More</w:t>
      </w:r>
      <w:r w:rsidR="00BD295C" w:rsidRPr="002661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details can be found in the information below or on the following websites: </w:t>
      </w:r>
      <w:hyperlink r:id="rId7" w:history="1">
        <w:r w:rsidR="00BD295C" w:rsidRPr="002661A7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www.cfcu.gov.tr</w:t>
        </w:r>
      </w:hyperlink>
      <w:r w:rsidR="00BD295C" w:rsidRPr="002661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E401E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hyperlink r:id="rId8" w:history="1">
        <w:r w:rsidR="005E401E" w:rsidRPr="009416F8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www.ab.gov.tr</w:t>
        </w:r>
      </w:hyperlink>
      <w:r w:rsidR="005E40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D73DA" w:rsidRDefault="00AD73DA">
      <w:pPr>
        <w:rPr>
          <w:rFonts w:ascii="Times New Roman" w:hAnsi="Times New Roman" w:cs="Times New Roman"/>
          <w:sz w:val="24"/>
          <w:szCs w:val="24"/>
          <w:lang w:val="en-GB"/>
        </w:rPr>
        <w:sectPr w:rsidR="00AD73DA" w:rsidSect="00F30A17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3402"/>
        <w:gridCol w:w="5954"/>
        <w:gridCol w:w="1496"/>
        <w:gridCol w:w="1418"/>
      </w:tblGrid>
      <w:tr w:rsidR="00AD73DA" w:rsidRPr="000D7395" w:rsidTr="00DE32D6">
        <w:tc>
          <w:tcPr>
            <w:tcW w:w="14079" w:type="dxa"/>
            <w:gridSpan w:val="5"/>
            <w:shd w:val="clear" w:color="auto" w:fill="BFBFBF" w:themeFill="background1" w:themeFillShade="BF"/>
            <w:vAlign w:val="center"/>
          </w:tcPr>
          <w:p w:rsidR="00AD73DA" w:rsidRPr="00915F74" w:rsidRDefault="00AD73DA" w:rsidP="000123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5F74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GB" w:eastAsia="tr-TR"/>
              </w:rPr>
              <w:lastRenderedPageBreak/>
              <w:t>Environment Grant Scheme</w:t>
            </w:r>
          </w:p>
        </w:tc>
      </w:tr>
      <w:tr w:rsidR="00AD73DA" w:rsidRPr="000D7395" w:rsidTr="00F30A17"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AD73DA" w:rsidRPr="00915F74" w:rsidRDefault="00AD73DA" w:rsidP="000123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5F7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Priority Areas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AD73DA" w:rsidRPr="00915F74" w:rsidRDefault="00AD73DA" w:rsidP="000123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5F7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Eligible Applicants</w:t>
            </w:r>
          </w:p>
        </w:tc>
        <w:tc>
          <w:tcPr>
            <w:tcW w:w="5954" w:type="dxa"/>
            <w:shd w:val="clear" w:color="auto" w:fill="BFBFBF" w:themeFill="background1" w:themeFillShade="BF"/>
            <w:vAlign w:val="center"/>
          </w:tcPr>
          <w:p w:rsidR="00AD73DA" w:rsidRPr="00915F74" w:rsidRDefault="00AD73DA" w:rsidP="000123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5F7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Eligible Co-applicants</w:t>
            </w:r>
          </w:p>
        </w:tc>
        <w:tc>
          <w:tcPr>
            <w:tcW w:w="1496" w:type="dxa"/>
            <w:shd w:val="clear" w:color="auto" w:fill="BFBFBF" w:themeFill="background1" w:themeFillShade="BF"/>
            <w:vAlign w:val="center"/>
          </w:tcPr>
          <w:p w:rsidR="00AD73DA" w:rsidRPr="00915F74" w:rsidRDefault="00AD73DA" w:rsidP="000123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5F7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Total Budget (Euro)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D73DA" w:rsidRPr="00915F74" w:rsidRDefault="00AD73DA" w:rsidP="000123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5F7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Deadline for Applications</w:t>
            </w:r>
          </w:p>
        </w:tc>
      </w:tr>
      <w:tr w:rsidR="00AD73DA" w:rsidRPr="000D7395" w:rsidTr="000D66FE">
        <w:tc>
          <w:tcPr>
            <w:tcW w:w="1809" w:type="dxa"/>
          </w:tcPr>
          <w:p w:rsidR="00AD73DA" w:rsidRPr="00915F74" w:rsidRDefault="00AD73DA" w:rsidP="0001233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915F7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Nature conservation</w:t>
            </w:r>
          </w:p>
          <w:p w:rsidR="00AD73DA" w:rsidRPr="00915F74" w:rsidRDefault="00AD73DA" w:rsidP="0001233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915F7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Climate action</w:t>
            </w:r>
          </w:p>
          <w:p w:rsidR="00AD73DA" w:rsidRPr="00915F74" w:rsidRDefault="00AD73DA" w:rsidP="0001233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</w:tcPr>
          <w:p w:rsidR="000D66FE" w:rsidRPr="000D66FE" w:rsidRDefault="00AD73DA" w:rsidP="000D66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0D66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Non-governmental Organisations (NGOs) </w:t>
            </w:r>
          </w:p>
          <w:p w:rsidR="000D66FE" w:rsidRDefault="000D66FE" w:rsidP="000D66FE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AD73DA" w:rsidRPr="000D66FE" w:rsidRDefault="00AD73DA" w:rsidP="000D66FE">
            <w:pPr>
              <w:pStyle w:val="ListParagraph"/>
              <w:ind w:left="360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0D66F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(Associations, foundations </w:t>
            </w:r>
          </w:p>
          <w:p w:rsidR="00AD73DA" w:rsidRPr="00915F74" w:rsidRDefault="00AD73DA" w:rsidP="00012339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915F7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federations and confederations of associations or foundations in Turkey; not-for-profit organizations in the EU Member States) </w:t>
            </w:r>
          </w:p>
          <w:p w:rsidR="00AD73DA" w:rsidRPr="00915F74" w:rsidRDefault="00AD73DA" w:rsidP="00012339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5954" w:type="dxa"/>
          </w:tcPr>
          <w:p w:rsidR="00AD73DA" w:rsidRPr="000D66FE" w:rsidRDefault="00AD73DA" w:rsidP="000D66FE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0D66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Non-governmental Organisations (NGOs) </w:t>
            </w:r>
            <w:r w:rsidRPr="000D66F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(Associations, foundations </w:t>
            </w:r>
          </w:p>
          <w:p w:rsidR="000D66FE" w:rsidRDefault="00AD73DA" w:rsidP="000D66FE">
            <w:pPr>
              <w:ind w:left="318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915F7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federations and confederations of associations or foundations in Turkey; not-for-profit organiz</w:t>
            </w:r>
            <w:r w:rsidR="000D66F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ations in the EU Member States)</w:t>
            </w:r>
          </w:p>
          <w:p w:rsidR="00AD73DA" w:rsidRPr="000D66FE" w:rsidRDefault="00AD73DA" w:rsidP="000D66FE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66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universities, municipalities and unions of municipalities, chambers </w:t>
            </w:r>
            <w:r w:rsidRPr="000D66F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(except for TOBB and EUROCHAMBERS members),</w:t>
            </w:r>
            <w:r w:rsidRPr="000D66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federations, confederations, unions, bars</w:t>
            </w:r>
          </w:p>
          <w:p w:rsidR="00AD73DA" w:rsidRPr="00915F74" w:rsidRDefault="00AD73DA" w:rsidP="00012339">
            <w:pPr>
              <w:pStyle w:val="ListParagraph"/>
              <w:ind w:left="48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96" w:type="dxa"/>
            <w:vAlign w:val="center"/>
          </w:tcPr>
          <w:p w:rsidR="00AD73DA" w:rsidRPr="000D66FE" w:rsidRDefault="00AD73DA" w:rsidP="000D66F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66FE">
              <w:rPr>
                <w:rFonts w:ascii="Times New Roman" w:eastAsia="Times New Roman" w:hAnsi="Times New Roman" w:cs="Times New Roman"/>
                <w:sz w:val="20"/>
                <w:szCs w:val="20"/>
              </w:rPr>
              <w:t>1.778.000</w:t>
            </w:r>
          </w:p>
        </w:tc>
        <w:tc>
          <w:tcPr>
            <w:tcW w:w="1418" w:type="dxa"/>
            <w:vAlign w:val="center"/>
          </w:tcPr>
          <w:p w:rsidR="00AD73DA" w:rsidRPr="00915F74" w:rsidRDefault="00AD73DA" w:rsidP="000D66F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5F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</w:t>
            </w:r>
            <w:r w:rsidRPr="00915F7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 w:rsidRPr="00915F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May 2015</w:t>
            </w:r>
          </w:p>
        </w:tc>
      </w:tr>
    </w:tbl>
    <w:p w:rsidR="00AD73DA" w:rsidRDefault="00AD73D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395"/>
        <w:gridCol w:w="4961"/>
        <w:gridCol w:w="1496"/>
        <w:gridCol w:w="1418"/>
      </w:tblGrid>
      <w:tr w:rsidR="00AD73DA" w:rsidRPr="000D7395" w:rsidTr="00AD73DA">
        <w:tc>
          <w:tcPr>
            <w:tcW w:w="14079" w:type="dxa"/>
            <w:gridSpan w:val="5"/>
            <w:shd w:val="clear" w:color="auto" w:fill="BFBFBF" w:themeFill="background1" w:themeFillShade="BF"/>
            <w:vAlign w:val="center"/>
          </w:tcPr>
          <w:p w:rsidR="00AD73DA" w:rsidRPr="00050AA0" w:rsidRDefault="00AD73DA" w:rsidP="00AD7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50AA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GB" w:eastAsia="tr-TR"/>
              </w:rPr>
              <w:t>Energy Grant Scheme</w:t>
            </w:r>
          </w:p>
        </w:tc>
      </w:tr>
      <w:tr w:rsidR="00AD73DA" w:rsidRPr="000D7395" w:rsidTr="00F30A17"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AD73DA" w:rsidRPr="00050AA0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50A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Priority Areas</w:t>
            </w:r>
          </w:p>
        </w:tc>
        <w:tc>
          <w:tcPr>
            <w:tcW w:w="4395" w:type="dxa"/>
            <w:shd w:val="clear" w:color="auto" w:fill="BFBFBF" w:themeFill="background1" w:themeFillShade="BF"/>
            <w:vAlign w:val="center"/>
          </w:tcPr>
          <w:p w:rsidR="00AD73DA" w:rsidRPr="00050AA0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50A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Eligible Applicants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:rsidR="00AD73DA" w:rsidRPr="00050AA0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50A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Eligible Co-applicants</w:t>
            </w:r>
          </w:p>
        </w:tc>
        <w:tc>
          <w:tcPr>
            <w:tcW w:w="1496" w:type="dxa"/>
            <w:shd w:val="clear" w:color="auto" w:fill="BFBFBF" w:themeFill="background1" w:themeFillShade="BF"/>
            <w:vAlign w:val="center"/>
          </w:tcPr>
          <w:p w:rsidR="00AD73DA" w:rsidRPr="00050AA0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50A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Total Budget (Euro)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D73DA" w:rsidRPr="00050AA0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50A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Deadline for Applications</w:t>
            </w:r>
          </w:p>
        </w:tc>
      </w:tr>
      <w:tr w:rsidR="00AD73DA" w:rsidRPr="000D7395" w:rsidTr="00D0157E">
        <w:tc>
          <w:tcPr>
            <w:tcW w:w="1809" w:type="dxa"/>
          </w:tcPr>
          <w:p w:rsidR="00AD73DA" w:rsidRPr="00050AA0" w:rsidRDefault="00AD73DA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050AA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Energy efficiency</w:t>
            </w:r>
          </w:p>
          <w:p w:rsidR="00AD73DA" w:rsidRPr="00050AA0" w:rsidRDefault="00AD73DA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050AA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Renewable energy</w:t>
            </w:r>
          </w:p>
          <w:p w:rsidR="00AD73DA" w:rsidRPr="00050AA0" w:rsidRDefault="00AD73DA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050AA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Electricity and natural gas</w:t>
            </w:r>
          </w:p>
          <w:p w:rsidR="00AD73DA" w:rsidRPr="00050AA0" w:rsidRDefault="00AD73DA" w:rsidP="00A7647F">
            <w:pPr>
              <w:ind w:left="36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4395" w:type="dxa"/>
          </w:tcPr>
          <w:p w:rsidR="00050AA0" w:rsidRPr="00050AA0" w:rsidRDefault="00AD73DA" w:rsidP="00050A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050A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Non-governmental Organisations (NGOs) </w:t>
            </w:r>
          </w:p>
          <w:p w:rsidR="00050AA0" w:rsidRDefault="00050AA0" w:rsidP="00050AA0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  <w:p w:rsidR="00AD73DA" w:rsidRPr="00050AA0" w:rsidRDefault="00AD73DA" w:rsidP="00A7647F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050AA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(Associations, foundations </w:t>
            </w:r>
            <w:r w:rsidR="00050AA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050AA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federations and confederations of associations or foundations in Turkey; not-for-profit organizations in the EU Member States)</w:t>
            </w:r>
          </w:p>
          <w:p w:rsidR="00AD73DA" w:rsidRPr="00050AA0" w:rsidRDefault="00AD73DA" w:rsidP="00A7647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961" w:type="dxa"/>
          </w:tcPr>
          <w:p w:rsidR="00050AA0" w:rsidRPr="00050AA0" w:rsidRDefault="00AD73DA" w:rsidP="00050AA0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050A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Non-governmental Organisations (NGOs) </w:t>
            </w:r>
          </w:p>
          <w:p w:rsidR="00050AA0" w:rsidRDefault="00050AA0" w:rsidP="00050AA0">
            <w:pPr>
              <w:pStyle w:val="ListParagraph"/>
              <w:ind w:left="31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AD73DA" w:rsidRPr="00050AA0" w:rsidRDefault="00AD73DA" w:rsidP="00050AA0">
            <w:pPr>
              <w:pStyle w:val="ListParagraph"/>
              <w:ind w:left="317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050AA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(Associations, foundations </w:t>
            </w:r>
            <w:r w:rsidR="00050AA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050AA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federations and confederations of associations or foundations in Turkey; not-for-profit organizations in the EU Member States)</w:t>
            </w:r>
          </w:p>
        </w:tc>
        <w:tc>
          <w:tcPr>
            <w:tcW w:w="1496" w:type="dxa"/>
            <w:vAlign w:val="center"/>
          </w:tcPr>
          <w:p w:rsidR="00AD73DA" w:rsidRPr="00050AA0" w:rsidRDefault="00AD73DA" w:rsidP="00D015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AA0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18" w:type="dxa"/>
            <w:vAlign w:val="center"/>
          </w:tcPr>
          <w:p w:rsidR="00AD73DA" w:rsidRPr="00050AA0" w:rsidRDefault="00AD73DA" w:rsidP="00D015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AA0">
              <w:rPr>
                <w:rFonts w:ascii="Times New Roman" w:eastAsia="Times New Roman" w:hAnsi="Times New Roman" w:cs="Times New Roman"/>
                <w:sz w:val="20"/>
                <w:szCs w:val="20"/>
              </w:rPr>
              <w:t>25th May 2015</w:t>
            </w:r>
          </w:p>
        </w:tc>
      </w:tr>
    </w:tbl>
    <w:p w:rsidR="00AD73DA" w:rsidRDefault="00AD73D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30A17" w:rsidRDefault="00F30A1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30A17" w:rsidRDefault="00F30A1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30A17" w:rsidRDefault="00F30A1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30A17" w:rsidRDefault="00F30A1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3921"/>
        <w:gridCol w:w="5387"/>
        <w:gridCol w:w="1496"/>
        <w:gridCol w:w="1418"/>
      </w:tblGrid>
      <w:tr w:rsidR="00AD73DA" w:rsidRPr="00B065A0" w:rsidTr="00A7647F">
        <w:tc>
          <w:tcPr>
            <w:tcW w:w="14079" w:type="dxa"/>
            <w:gridSpan w:val="5"/>
            <w:shd w:val="clear" w:color="auto" w:fill="BFBFBF" w:themeFill="background1" w:themeFillShade="BF"/>
            <w:vAlign w:val="center"/>
          </w:tcPr>
          <w:p w:rsidR="00AD73DA" w:rsidRPr="00B065A0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065A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GB" w:eastAsia="tr-TR"/>
              </w:rPr>
              <w:lastRenderedPageBreak/>
              <w:t>Consumer and Health Protection Grant Scheme</w:t>
            </w:r>
          </w:p>
        </w:tc>
      </w:tr>
      <w:tr w:rsidR="00AD73DA" w:rsidRPr="00B065A0" w:rsidTr="00BC08B7">
        <w:tc>
          <w:tcPr>
            <w:tcW w:w="1857" w:type="dxa"/>
            <w:shd w:val="clear" w:color="auto" w:fill="BFBFBF" w:themeFill="background1" w:themeFillShade="BF"/>
            <w:vAlign w:val="center"/>
          </w:tcPr>
          <w:p w:rsidR="00AD73DA" w:rsidRPr="00B065A0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Priority Areas</w:t>
            </w:r>
          </w:p>
        </w:tc>
        <w:tc>
          <w:tcPr>
            <w:tcW w:w="3921" w:type="dxa"/>
            <w:shd w:val="clear" w:color="auto" w:fill="BFBFBF" w:themeFill="background1" w:themeFillShade="BF"/>
            <w:vAlign w:val="center"/>
          </w:tcPr>
          <w:p w:rsidR="00AD73DA" w:rsidRPr="00B065A0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Eligible Applicants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:rsidR="00AD73DA" w:rsidRPr="00B065A0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Eligible Co-applicants</w:t>
            </w:r>
          </w:p>
        </w:tc>
        <w:tc>
          <w:tcPr>
            <w:tcW w:w="1496" w:type="dxa"/>
            <w:shd w:val="clear" w:color="auto" w:fill="BFBFBF" w:themeFill="background1" w:themeFillShade="BF"/>
            <w:vAlign w:val="center"/>
          </w:tcPr>
          <w:p w:rsidR="00AD73DA" w:rsidRPr="00B065A0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Total Budget (Euro)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D73DA" w:rsidRPr="00B065A0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Deadline for Applications</w:t>
            </w:r>
          </w:p>
        </w:tc>
      </w:tr>
      <w:tr w:rsidR="00AD73DA" w:rsidRPr="00B065A0" w:rsidTr="00BC08B7">
        <w:tc>
          <w:tcPr>
            <w:tcW w:w="1857" w:type="dxa"/>
          </w:tcPr>
          <w:p w:rsidR="00AD73DA" w:rsidRPr="00B065A0" w:rsidRDefault="00AD73DA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B065A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 xml:space="preserve">Consumer rights </w:t>
            </w:r>
          </w:p>
          <w:p w:rsidR="00AD73DA" w:rsidRPr="00B065A0" w:rsidRDefault="00AD73DA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B065A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Public health</w:t>
            </w:r>
          </w:p>
          <w:p w:rsidR="00AD73DA" w:rsidRPr="00B065A0" w:rsidRDefault="00AD73DA" w:rsidP="00A7647F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3921" w:type="dxa"/>
          </w:tcPr>
          <w:p w:rsidR="00B065A0" w:rsidRPr="00BC08B7" w:rsidRDefault="00AD73DA" w:rsidP="00BC08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Non-governmental Organisations (NGOs) </w:t>
            </w:r>
          </w:p>
          <w:p w:rsidR="00AD73DA" w:rsidRPr="00E678A5" w:rsidRDefault="00AD73DA" w:rsidP="00E678A5">
            <w:pPr>
              <w:pStyle w:val="ListParagraph"/>
              <w:ind w:left="360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(Associations, foundations </w:t>
            </w:r>
            <w:r w:rsidR="00B065A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</w:t>
            </w:r>
            <w:r w:rsidRPr="00B065A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federations and confederations of associations or foundations in Turkey; not-for-profit organizations in the EU Member States)</w:t>
            </w:r>
          </w:p>
        </w:tc>
        <w:tc>
          <w:tcPr>
            <w:tcW w:w="5387" w:type="dxa"/>
          </w:tcPr>
          <w:p w:rsidR="00B065A0" w:rsidRPr="00B065A0" w:rsidRDefault="00AD73DA" w:rsidP="00A764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Non-governmental Organisations (NGOs) </w:t>
            </w:r>
          </w:p>
          <w:p w:rsidR="00B065A0" w:rsidRDefault="00B065A0" w:rsidP="00B065A0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AD73DA" w:rsidRPr="00B065A0" w:rsidRDefault="00AD73DA" w:rsidP="00B065A0">
            <w:pPr>
              <w:pStyle w:val="ListParagraph"/>
              <w:ind w:left="360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(Associations, foundations federations and confederations of associations or foundations in Turkey; not-for-profit organizations in the EU Member States)</w:t>
            </w:r>
          </w:p>
        </w:tc>
        <w:tc>
          <w:tcPr>
            <w:tcW w:w="1496" w:type="dxa"/>
            <w:vAlign w:val="center"/>
          </w:tcPr>
          <w:p w:rsidR="00AD73DA" w:rsidRPr="00B065A0" w:rsidRDefault="00AD73DA" w:rsidP="00A764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5A0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18" w:type="dxa"/>
            <w:vAlign w:val="center"/>
          </w:tcPr>
          <w:p w:rsidR="00AD73DA" w:rsidRPr="00B065A0" w:rsidRDefault="00AD73DA" w:rsidP="00A764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5A0">
              <w:rPr>
                <w:rFonts w:ascii="Times New Roman" w:eastAsia="Times New Roman" w:hAnsi="Times New Roman" w:cs="Times New Roman"/>
                <w:sz w:val="20"/>
                <w:szCs w:val="20"/>
              </w:rPr>
              <w:t>25th May 2015</w:t>
            </w:r>
          </w:p>
        </w:tc>
      </w:tr>
    </w:tbl>
    <w:p w:rsidR="00AD73DA" w:rsidRPr="00B065A0" w:rsidRDefault="00AD73DA" w:rsidP="00EC5F2F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3921"/>
        <w:gridCol w:w="5529"/>
        <w:gridCol w:w="1354"/>
        <w:gridCol w:w="1418"/>
      </w:tblGrid>
      <w:tr w:rsidR="00AD73DA" w:rsidRPr="00B065A0" w:rsidTr="00A7647F">
        <w:tc>
          <w:tcPr>
            <w:tcW w:w="14079" w:type="dxa"/>
            <w:gridSpan w:val="5"/>
            <w:shd w:val="clear" w:color="auto" w:fill="BFBFBF" w:themeFill="background1" w:themeFillShade="BF"/>
            <w:vAlign w:val="center"/>
          </w:tcPr>
          <w:p w:rsidR="00AD73DA" w:rsidRPr="00E678A5" w:rsidRDefault="00AD73DA" w:rsidP="00E678A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GB" w:eastAsia="tr-TR"/>
              </w:rPr>
            </w:pPr>
            <w:r w:rsidRPr="00B065A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GB" w:eastAsia="tr-TR"/>
              </w:rPr>
              <w:t xml:space="preserve">Justice, Freedom and Security </w:t>
            </w:r>
            <w:r w:rsidR="00E678A5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r w:rsidRPr="00B065A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GB" w:eastAsia="tr-TR"/>
              </w:rPr>
              <w:t>Grant Scheme</w:t>
            </w:r>
          </w:p>
        </w:tc>
      </w:tr>
      <w:tr w:rsidR="00AD73DA" w:rsidRPr="00B065A0" w:rsidTr="00BC08B7">
        <w:tc>
          <w:tcPr>
            <w:tcW w:w="1857" w:type="dxa"/>
            <w:shd w:val="clear" w:color="auto" w:fill="BFBFBF" w:themeFill="background1" w:themeFillShade="BF"/>
            <w:vAlign w:val="center"/>
          </w:tcPr>
          <w:p w:rsidR="00AD73DA" w:rsidRPr="00B065A0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Priority Areas</w:t>
            </w:r>
          </w:p>
        </w:tc>
        <w:tc>
          <w:tcPr>
            <w:tcW w:w="3921" w:type="dxa"/>
            <w:shd w:val="clear" w:color="auto" w:fill="BFBFBF" w:themeFill="background1" w:themeFillShade="BF"/>
            <w:vAlign w:val="center"/>
          </w:tcPr>
          <w:p w:rsidR="00AD73DA" w:rsidRPr="00B065A0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Eligible Applicants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:rsidR="00AD73DA" w:rsidRPr="00B065A0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Eligible Co-applicants</w:t>
            </w:r>
          </w:p>
        </w:tc>
        <w:tc>
          <w:tcPr>
            <w:tcW w:w="1354" w:type="dxa"/>
            <w:shd w:val="clear" w:color="auto" w:fill="BFBFBF" w:themeFill="background1" w:themeFillShade="BF"/>
            <w:vAlign w:val="center"/>
          </w:tcPr>
          <w:p w:rsidR="00AD73DA" w:rsidRPr="00B065A0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Total Budget (Euro)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D73DA" w:rsidRPr="00B065A0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Deadline for Applications</w:t>
            </w:r>
          </w:p>
        </w:tc>
      </w:tr>
      <w:tr w:rsidR="00AD73DA" w:rsidRPr="00B065A0" w:rsidTr="00BC08B7">
        <w:tc>
          <w:tcPr>
            <w:tcW w:w="1857" w:type="dxa"/>
          </w:tcPr>
          <w:p w:rsidR="00AD73DA" w:rsidRPr="00B065A0" w:rsidRDefault="00AD73DA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bookmarkStart w:id="0" w:name="_GoBack"/>
            <w:bookmarkEnd w:id="0"/>
            <w:r w:rsidRPr="00B065A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 xml:space="preserve">Migration, asylum and fight against human trafficking </w:t>
            </w:r>
          </w:p>
          <w:p w:rsidR="00AD73DA" w:rsidRPr="00B065A0" w:rsidRDefault="00AD73DA" w:rsidP="00A7647F">
            <w:pPr>
              <w:ind w:left="36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3921" w:type="dxa"/>
          </w:tcPr>
          <w:p w:rsidR="00B065A0" w:rsidRPr="00BC08B7" w:rsidRDefault="00AD73DA" w:rsidP="00BC08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Non-governmental Organisations (NGOs) </w:t>
            </w:r>
          </w:p>
          <w:p w:rsidR="00AD73DA" w:rsidRPr="00BC08B7" w:rsidRDefault="00AD73DA" w:rsidP="00BC08B7">
            <w:pPr>
              <w:pStyle w:val="ListParagraph"/>
              <w:ind w:left="360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(Associations, foundations </w:t>
            </w:r>
            <w:r w:rsidR="00B065A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 </w:t>
            </w:r>
            <w:r w:rsidRPr="00B065A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federations and confederations of associations or foundations in Turkey; not-for-profit organizations in the EU Member States)</w:t>
            </w:r>
          </w:p>
        </w:tc>
        <w:tc>
          <w:tcPr>
            <w:tcW w:w="5529" w:type="dxa"/>
          </w:tcPr>
          <w:p w:rsidR="00B065A0" w:rsidRPr="00B065A0" w:rsidRDefault="00AD73DA" w:rsidP="00B065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Non-governmental Organisations (NGOs)</w:t>
            </w:r>
          </w:p>
          <w:p w:rsidR="00B065A0" w:rsidRPr="00BC08B7" w:rsidRDefault="00AD73DA" w:rsidP="00BC08B7">
            <w:pPr>
              <w:pStyle w:val="ListParagraph"/>
              <w:ind w:left="360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065A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(Associations, foundations </w:t>
            </w:r>
            <w:r w:rsidR="00B065A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B065A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federations and confederations of associations or foundations in Turkey; not-for-profit organizations in the EU Member States), </w:t>
            </w:r>
          </w:p>
          <w:p w:rsidR="00AD73DA" w:rsidRPr="00B065A0" w:rsidRDefault="00AD73DA" w:rsidP="00B065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B06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universities, think tanks, chambers </w:t>
            </w:r>
            <w:r w:rsidRPr="00B065A0">
              <w:rPr>
                <w:rFonts w:ascii="Times New Roman" w:hAnsi="Times New Roman" w:cs="Times New Roman"/>
                <w:i/>
                <w:sz w:val="20"/>
                <w:szCs w:val="20"/>
              </w:rPr>
              <w:t>(except for TOBB and EUROCHAMBERS members)</w:t>
            </w:r>
            <w:r w:rsidRPr="00B06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federations, confederations, unions, bars </w:t>
            </w:r>
          </w:p>
        </w:tc>
        <w:tc>
          <w:tcPr>
            <w:tcW w:w="1354" w:type="dxa"/>
            <w:vAlign w:val="center"/>
          </w:tcPr>
          <w:p w:rsidR="00AD73DA" w:rsidRPr="00B065A0" w:rsidRDefault="00AD73DA" w:rsidP="00A764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5A0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18" w:type="dxa"/>
            <w:vAlign w:val="center"/>
          </w:tcPr>
          <w:p w:rsidR="00AD73DA" w:rsidRPr="00B065A0" w:rsidRDefault="00AD73DA" w:rsidP="00B065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="00B065A0">
              <w:rPr>
                <w:rFonts w:ascii="Times New Roman" w:eastAsia="Times New Roman" w:hAnsi="Times New Roman" w:cs="Times New Roman"/>
                <w:sz w:val="20"/>
                <w:szCs w:val="20"/>
              </w:rPr>
              <w:t>June</w:t>
            </w:r>
            <w:proofErr w:type="spellEnd"/>
            <w:r w:rsidR="00B06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06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2015</w:t>
            </w:r>
            <w:proofErr w:type="gramEnd"/>
          </w:p>
        </w:tc>
      </w:tr>
    </w:tbl>
    <w:p w:rsidR="00F30A17" w:rsidRDefault="00F30A17" w:rsidP="00EC5F2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394"/>
        <w:gridCol w:w="4536"/>
        <w:gridCol w:w="1134"/>
        <w:gridCol w:w="1497"/>
      </w:tblGrid>
      <w:tr w:rsidR="00AD73DA" w:rsidRPr="000D7395" w:rsidTr="006C6533">
        <w:tc>
          <w:tcPr>
            <w:tcW w:w="14079" w:type="dxa"/>
            <w:gridSpan w:val="5"/>
            <w:shd w:val="clear" w:color="auto" w:fill="BFBFBF" w:themeFill="background1" w:themeFillShade="BF"/>
            <w:vAlign w:val="center"/>
          </w:tcPr>
          <w:p w:rsidR="00AD73DA" w:rsidRPr="000A701D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A701D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GB" w:eastAsia="tr-TR"/>
              </w:rPr>
              <w:t>Right of Establishment and Freedom to Provide Services Grant Scheme</w:t>
            </w:r>
          </w:p>
        </w:tc>
      </w:tr>
      <w:tr w:rsidR="00AD73DA" w:rsidRPr="000D7395" w:rsidTr="00EC5F2F">
        <w:tc>
          <w:tcPr>
            <w:tcW w:w="2518" w:type="dxa"/>
            <w:shd w:val="clear" w:color="auto" w:fill="BFBFBF" w:themeFill="background1" w:themeFillShade="BF"/>
            <w:vAlign w:val="center"/>
          </w:tcPr>
          <w:p w:rsidR="00AD73DA" w:rsidRPr="000A701D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A701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Priority Areas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:rsidR="00AD73DA" w:rsidRPr="000A701D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A701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Eligible Applicants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:rsidR="00AD73DA" w:rsidRPr="000A701D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A701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Eligible Co-applicants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D73DA" w:rsidRPr="000A701D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A701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Total Budget (Euro)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:rsidR="00AD73DA" w:rsidRPr="000A701D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A701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Deadline for Applications</w:t>
            </w:r>
          </w:p>
        </w:tc>
      </w:tr>
      <w:tr w:rsidR="00AD73DA" w:rsidRPr="000D7395" w:rsidTr="00EC5F2F">
        <w:tc>
          <w:tcPr>
            <w:tcW w:w="2518" w:type="dxa"/>
          </w:tcPr>
          <w:p w:rsidR="00AD73DA" w:rsidRPr="00BC08B7" w:rsidRDefault="00AD73DA" w:rsidP="00BC0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0A701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 xml:space="preserve">Cooperation among professional organisations for a better understanding of the mutual recognition of professional qualifications system established in the EU countries </w:t>
            </w:r>
          </w:p>
        </w:tc>
        <w:tc>
          <w:tcPr>
            <w:tcW w:w="4394" w:type="dxa"/>
          </w:tcPr>
          <w:p w:rsidR="000A701D" w:rsidRPr="00BC08B7" w:rsidRDefault="00AD73DA" w:rsidP="00BC08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0A701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Non-governmental Organisations (NGOs) </w:t>
            </w:r>
          </w:p>
          <w:p w:rsidR="00AD73DA" w:rsidRPr="00BC08B7" w:rsidRDefault="00AD73DA" w:rsidP="00BC08B7">
            <w:pPr>
              <w:pStyle w:val="ListParagraph"/>
              <w:ind w:left="360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0A701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(Associations, foundations </w:t>
            </w:r>
            <w:r w:rsidR="000A701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0A701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federations and confederations of associations or foundations in Turkey; not-for-profit organizations in the EU Member States), </w:t>
            </w:r>
            <w:r w:rsidRPr="000A701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chambers </w:t>
            </w:r>
            <w:r w:rsidRPr="000A701D">
              <w:rPr>
                <w:rFonts w:ascii="Times New Roman" w:hAnsi="Times New Roman" w:cs="Times New Roman"/>
                <w:i/>
                <w:sz w:val="20"/>
                <w:szCs w:val="20"/>
              </w:rPr>
              <w:t>(except for TOBB and EUROCHAMBERS members)</w:t>
            </w:r>
            <w:r w:rsidRPr="000A701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federations, confederations, unions, bars, employer and trade unions </w:t>
            </w:r>
          </w:p>
        </w:tc>
        <w:tc>
          <w:tcPr>
            <w:tcW w:w="4536" w:type="dxa"/>
          </w:tcPr>
          <w:p w:rsidR="000E0CE8" w:rsidRPr="00BC08B7" w:rsidRDefault="00AD73DA" w:rsidP="00BC08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0A701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Non-governmental Organisations (NGOs) </w:t>
            </w:r>
          </w:p>
          <w:p w:rsidR="000E0CE8" w:rsidRDefault="00AD73DA" w:rsidP="000E0CE8">
            <w:pPr>
              <w:pStyle w:val="ListParagraph"/>
              <w:ind w:left="360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0A701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(Associations, foundations </w:t>
            </w:r>
            <w:r w:rsidR="000E0CE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0E0CE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federations and confederations of associations or foundations in Turkey; not-for-profit organiz</w:t>
            </w:r>
            <w:r w:rsidR="000E0CE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ations in the EU Member States)</w:t>
            </w:r>
          </w:p>
          <w:p w:rsidR="00AD73DA" w:rsidRPr="000E0CE8" w:rsidRDefault="00AD73DA" w:rsidP="000E0CE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0E0CE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chambers </w:t>
            </w:r>
            <w:r w:rsidRPr="000E0CE8">
              <w:rPr>
                <w:rFonts w:ascii="Times New Roman" w:hAnsi="Times New Roman" w:cs="Times New Roman"/>
                <w:i/>
                <w:sz w:val="20"/>
                <w:szCs w:val="20"/>
              </w:rPr>
              <w:t>(except for TOBB and EUROCHAMBERS members)</w:t>
            </w:r>
            <w:r w:rsidRPr="000E0CE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federations, confederations, unions, bars, employer and trade unions</w:t>
            </w:r>
          </w:p>
        </w:tc>
        <w:tc>
          <w:tcPr>
            <w:tcW w:w="1134" w:type="dxa"/>
            <w:vAlign w:val="center"/>
          </w:tcPr>
          <w:p w:rsidR="00AD73DA" w:rsidRPr="000A701D" w:rsidRDefault="00AD73DA" w:rsidP="00A764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01D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97" w:type="dxa"/>
            <w:vAlign w:val="center"/>
          </w:tcPr>
          <w:p w:rsidR="00AD73DA" w:rsidRPr="000A701D" w:rsidRDefault="00AD73DA" w:rsidP="006C65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0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="006C6533" w:rsidRPr="000A701D">
              <w:rPr>
                <w:rFonts w:ascii="Times New Roman" w:eastAsia="Times New Roman" w:hAnsi="Times New Roman" w:cs="Times New Roman"/>
                <w:sz w:val="20"/>
                <w:szCs w:val="20"/>
              </w:rPr>
              <w:t>June</w:t>
            </w:r>
            <w:proofErr w:type="spellEnd"/>
            <w:r w:rsidRPr="000A70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2015</w:t>
            </w:r>
          </w:p>
        </w:tc>
      </w:tr>
    </w:tbl>
    <w:p w:rsidR="00AD73DA" w:rsidRDefault="00AD73D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3261"/>
        <w:gridCol w:w="3827"/>
        <w:gridCol w:w="1496"/>
        <w:gridCol w:w="1418"/>
      </w:tblGrid>
      <w:tr w:rsidR="00AD73DA" w:rsidRPr="007C6769" w:rsidTr="00A7647F">
        <w:tc>
          <w:tcPr>
            <w:tcW w:w="14079" w:type="dxa"/>
            <w:gridSpan w:val="5"/>
            <w:shd w:val="clear" w:color="auto" w:fill="BFBFBF" w:themeFill="background1" w:themeFillShade="BF"/>
            <w:vAlign w:val="center"/>
          </w:tcPr>
          <w:p w:rsidR="00AD73DA" w:rsidRPr="007C6769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C67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tr-TR"/>
              </w:rPr>
              <w:t>Regional Policy and Coordination of Structural Instruments</w:t>
            </w:r>
            <w:r w:rsidRPr="007C676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GB" w:eastAsia="tr-TR"/>
              </w:rPr>
              <w:t xml:space="preserve"> Grant Scheme</w:t>
            </w:r>
          </w:p>
        </w:tc>
      </w:tr>
      <w:tr w:rsidR="00AD73DA" w:rsidRPr="007C6769" w:rsidTr="006C6533"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AD73DA" w:rsidRPr="007C6769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C676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Priority Areas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AD73DA" w:rsidRPr="007C6769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C676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Eligible Applicants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AD73DA" w:rsidRPr="007C6769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C676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Eligible Co-applicants</w:t>
            </w:r>
          </w:p>
        </w:tc>
        <w:tc>
          <w:tcPr>
            <w:tcW w:w="1496" w:type="dxa"/>
            <w:shd w:val="clear" w:color="auto" w:fill="BFBFBF" w:themeFill="background1" w:themeFillShade="BF"/>
            <w:vAlign w:val="center"/>
          </w:tcPr>
          <w:p w:rsidR="00AD73DA" w:rsidRPr="007C6769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C676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Total Budget (Euro)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D73DA" w:rsidRPr="007C6769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C676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Deadline for Applications</w:t>
            </w:r>
          </w:p>
        </w:tc>
      </w:tr>
      <w:tr w:rsidR="00AD73DA" w:rsidRPr="007C6769" w:rsidTr="006C6533">
        <w:tc>
          <w:tcPr>
            <w:tcW w:w="4077" w:type="dxa"/>
          </w:tcPr>
          <w:p w:rsidR="00AD73DA" w:rsidRPr="007C6769" w:rsidRDefault="00AD73DA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7C676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Sustainable development and strategic planning in regional development</w:t>
            </w:r>
          </w:p>
          <w:p w:rsidR="00AD73DA" w:rsidRPr="007C6769" w:rsidRDefault="00AD73DA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7C676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Economic development models and analytical tools for Development Agencies</w:t>
            </w:r>
          </w:p>
          <w:p w:rsidR="00AD73DA" w:rsidRPr="007C6769" w:rsidRDefault="00AD73DA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7C676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Common database for regional policy design</w:t>
            </w:r>
          </w:p>
          <w:p w:rsidR="00AD73DA" w:rsidRPr="007C6769" w:rsidRDefault="00AD73DA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7C676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Monitoring, evaluation and impact assessment of development policies</w:t>
            </w:r>
          </w:p>
          <w:p w:rsidR="00AD73DA" w:rsidRPr="007C6769" w:rsidRDefault="00AD73DA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7C676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Effective partnership in regional planning</w:t>
            </w:r>
          </w:p>
          <w:p w:rsidR="00AD73DA" w:rsidRPr="007C6769" w:rsidRDefault="00AD73DA" w:rsidP="00A7647F">
            <w:pPr>
              <w:ind w:left="36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3261" w:type="dxa"/>
          </w:tcPr>
          <w:p w:rsidR="00AD73DA" w:rsidRPr="007C6769" w:rsidRDefault="00AD73DA" w:rsidP="00A764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7C676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Non-governmental Organisations (NGOs) </w:t>
            </w:r>
            <w:r w:rsidRPr="007C676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(Associations, foundations </w:t>
            </w:r>
            <w:r w:rsidR="007C676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7C676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federations and confederations of associations or foundations in Turkey; not-for-profit organizations  in the EU Member States)</w:t>
            </w:r>
            <w:r w:rsidRPr="007C676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Development Agencies*</w:t>
            </w:r>
          </w:p>
          <w:p w:rsidR="00AD73DA" w:rsidRPr="007C6769" w:rsidRDefault="00AD73DA" w:rsidP="00A7647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:rsidR="00AD73DA" w:rsidRPr="007C6769" w:rsidRDefault="00AD73DA" w:rsidP="007C67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7C676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Non-governmental Organisations (NGOs) </w:t>
            </w:r>
            <w:r w:rsidRPr="007C676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(Associations, foundations </w:t>
            </w:r>
          </w:p>
          <w:p w:rsidR="0073616A" w:rsidRDefault="00AD73DA" w:rsidP="007C676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C676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federations and confederations of associations or foundations in Turkey; not-for-profit organizations in the EU Member States)</w:t>
            </w:r>
            <w:r w:rsidRPr="007C676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</w:p>
          <w:p w:rsidR="00AD73DA" w:rsidRPr="0073616A" w:rsidRDefault="00AD73DA" w:rsidP="0073616A">
            <w:pPr>
              <w:pStyle w:val="ListParagraph"/>
              <w:numPr>
                <w:ilvl w:val="0"/>
                <w:numId w:val="8"/>
              </w:numPr>
              <w:ind w:left="459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3616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Development Agencies*</w:t>
            </w:r>
          </w:p>
          <w:p w:rsidR="00AD73DA" w:rsidRPr="007C6769" w:rsidRDefault="00AD73DA" w:rsidP="00A7647F">
            <w:pPr>
              <w:rPr>
                <w:rFonts w:ascii="Times New Roman" w:hAnsi="Times New Roman" w:cs="Times New Roman"/>
                <w:strike/>
                <w:sz w:val="20"/>
                <w:szCs w:val="20"/>
                <w:lang w:val="en-GB"/>
              </w:rPr>
            </w:pPr>
          </w:p>
        </w:tc>
        <w:tc>
          <w:tcPr>
            <w:tcW w:w="1496" w:type="dxa"/>
            <w:vAlign w:val="center"/>
          </w:tcPr>
          <w:p w:rsidR="00AD73DA" w:rsidRPr="007C6769" w:rsidRDefault="00AD73DA" w:rsidP="00A764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76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18" w:type="dxa"/>
            <w:vAlign w:val="center"/>
          </w:tcPr>
          <w:p w:rsidR="00AD73DA" w:rsidRPr="007C6769" w:rsidRDefault="00AD73DA" w:rsidP="00AD73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7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5th </w:t>
            </w:r>
            <w:proofErr w:type="spellStart"/>
            <w:r w:rsidRPr="007C6769">
              <w:rPr>
                <w:rFonts w:ascii="Times New Roman" w:eastAsia="Times New Roman" w:hAnsi="Times New Roman" w:cs="Times New Roman"/>
                <w:sz w:val="20"/>
                <w:szCs w:val="20"/>
              </w:rPr>
              <w:t>June</w:t>
            </w:r>
            <w:proofErr w:type="spellEnd"/>
            <w:r w:rsidRPr="007C67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2015</w:t>
            </w:r>
          </w:p>
        </w:tc>
      </w:tr>
    </w:tbl>
    <w:p w:rsidR="00AD73DA" w:rsidRDefault="00AD73D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14141" w:type="dxa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3827"/>
        <w:gridCol w:w="1559"/>
        <w:gridCol w:w="1417"/>
      </w:tblGrid>
      <w:tr w:rsidR="00AD73DA" w:rsidRPr="000D7395" w:rsidTr="00886468">
        <w:tc>
          <w:tcPr>
            <w:tcW w:w="14141" w:type="dxa"/>
            <w:gridSpan w:val="5"/>
            <w:shd w:val="clear" w:color="auto" w:fill="BFBFBF" w:themeFill="background1" w:themeFillShade="BF"/>
            <w:vAlign w:val="center"/>
          </w:tcPr>
          <w:p w:rsidR="00AD73DA" w:rsidRPr="00A64C86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64C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tr-TR"/>
              </w:rPr>
              <w:t>Enterprise and Industrial Policy</w:t>
            </w:r>
            <w:r w:rsidRPr="00A64C8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 w:eastAsia="tr-TR"/>
              </w:rPr>
              <w:t xml:space="preserve"> </w:t>
            </w:r>
            <w:r w:rsidRPr="00A64C86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GB" w:eastAsia="tr-TR"/>
              </w:rPr>
              <w:t>Grant Scheme</w:t>
            </w:r>
          </w:p>
        </w:tc>
      </w:tr>
      <w:tr w:rsidR="00DE32D6" w:rsidRPr="000D7395" w:rsidTr="00886468"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AD73DA" w:rsidRPr="00A64C86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64C8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Priority Areas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AD73DA" w:rsidRPr="00A64C86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64C8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Eligible Applicants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AD73DA" w:rsidRPr="00A64C86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64C8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Eligible Co-applicants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D73DA" w:rsidRPr="00A64C86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64C8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Total Budget (Euro)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AD73DA" w:rsidRPr="00A64C86" w:rsidRDefault="00AD73DA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64C8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Deadline for Applications</w:t>
            </w:r>
          </w:p>
        </w:tc>
      </w:tr>
      <w:tr w:rsidR="00DE32D6" w:rsidRPr="000D7395" w:rsidTr="00886468">
        <w:tc>
          <w:tcPr>
            <w:tcW w:w="4077" w:type="dxa"/>
          </w:tcPr>
          <w:p w:rsidR="006C6533" w:rsidRPr="00A64C86" w:rsidRDefault="006C6533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A64C8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Entrepreneurial learning and development of entrepreneurial skills</w:t>
            </w:r>
          </w:p>
          <w:p w:rsidR="006C6533" w:rsidRPr="00A64C86" w:rsidRDefault="006C6533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A64C8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Improvement of energy and environmental performances of products and production lines</w:t>
            </w:r>
          </w:p>
          <w:p w:rsidR="006C6533" w:rsidRPr="00A64C86" w:rsidRDefault="006C6533" w:rsidP="00DE32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A64C8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Exchange of information, experiences, and best practices to adopt environment sensitive and energy efficient products, technologies and production processes.</w:t>
            </w:r>
          </w:p>
        </w:tc>
        <w:tc>
          <w:tcPr>
            <w:tcW w:w="3261" w:type="dxa"/>
          </w:tcPr>
          <w:p w:rsidR="006C6533" w:rsidRPr="003C6AD0" w:rsidRDefault="006C6533" w:rsidP="003C6AD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3C6A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Non-governmental Organisations (NGOs) </w:t>
            </w:r>
            <w:r w:rsidRPr="003C6AD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(Associations, foundations </w:t>
            </w:r>
          </w:p>
          <w:p w:rsidR="006C6533" w:rsidRPr="00A64C86" w:rsidRDefault="006C6533" w:rsidP="00A7647F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A64C8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federations and confederations of associations or foundations in Turkey; not-for-profit organizations in the EU Member States)</w:t>
            </w:r>
          </w:p>
          <w:p w:rsidR="006C6533" w:rsidRPr="00A64C86" w:rsidRDefault="006C6533" w:rsidP="00A7647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:rsidR="006C6533" w:rsidRPr="003C6AD0" w:rsidRDefault="006C6533" w:rsidP="00A7647F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3C6AD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Non-governmental Organisations (NGOs) </w:t>
            </w:r>
            <w:r w:rsidRPr="003C6AD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(Associations, foundations </w:t>
            </w:r>
            <w:r w:rsidR="003C6AD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3C6AD0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federations and confederations of associations or foundations in Turkey; not-for-profit organizations in the EU Member States)</w:t>
            </w:r>
          </w:p>
        </w:tc>
        <w:tc>
          <w:tcPr>
            <w:tcW w:w="1559" w:type="dxa"/>
            <w:vAlign w:val="center"/>
          </w:tcPr>
          <w:p w:rsidR="006C6533" w:rsidRPr="00A64C86" w:rsidRDefault="006C6533" w:rsidP="00A764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C86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17" w:type="dxa"/>
            <w:vAlign w:val="center"/>
          </w:tcPr>
          <w:p w:rsidR="006C6533" w:rsidRPr="00A64C86" w:rsidRDefault="006C6533" w:rsidP="00A764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C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5th </w:t>
            </w:r>
            <w:proofErr w:type="spellStart"/>
            <w:r w:rsidRPr="00A64C86">
              <w:rPr>
                <w:rFonts w:ascii="Times New Roman" w:eastAsia="Times New Roman" w:hAnsi="Times New Roman" w:cs="Times New Roman"/>
                <w:sz w:val="20"/>
                <w:szCs w:val="20"/>
              </w:rPr>
              <w:t>June</w:t>
            </w:r>
            <w:proofErr w:type="spellEnd"/>
            <w:r w:rsidRPr="00A64C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2015</w:t>
            </w:r>
          </w:p>
        </w:tc>
      </w:tr>
    </w:tbl>
    <w:p w:rsidR="00AD73DA" w:rsidRDefault="00AD73D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64C86" w:rsidRDefault="00A64C8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64C86" w:rsidRDefault="00A64C8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4678"/>
        <w:gridCol w:w="1276"/>
        <w:gridCol w:w="1301"/>
      </w:tblGrid>
      <w:tr w:rsidR="00F30A17" w:rsidRPr="000D7395" w:rsidTr="00A7647F">
        <w:tc>
          <w:tcPr>
            <w:tcW w:w="14167" w:type="dxa"/>
            <w:gridSpan w:val="5"/>
            <w:shd w:val="clear" w:color="auto" w:fill="BFBFBF" w:themeFill="background1" w:themeFillShade="BF"/>
            <w:vAlign w:val="center"/>
          </w:tcPr>
          <w:p w:rsidR="00F30A17" w:rsidRPr="00E2243F" w:rsidRDefault="00F30A17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2243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 w:eastAsia="tr-TR"/>
              </w:rPr>
              <w:lastRenderedPageBreak/>
              <w:t>Agriculture and Fisheries</w:t>
            </w:r>
            <w:r w:rsidRPr="00E2243F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GB" w:eastAsia="tr-TR"/>
              </w:rPr>
              <w:t xml:space="preserve"> Grant Scheme</w:t>
            </w:r>
          </w:p>
        </w:tc>
      </w:tr>
      <w:tr w:rsidR="00F30A17" w:rsidRPr="000D7395" w:rsidTr="00DA0A5E">
        <w:tc>
          <w:tcPr>
            <w:tcW w:w="3369" w:type="dxa"/>
            <w:shd w:val="clear" w:color="auto" w:fill="BFBFBF" w:themeFill="background1" w:themeFillShade="BF"/>
            <w:vAlign w:val="center"/>
          </w:tcPr>
          <w:p w:rsidR="00F30A17" w:rsidRPr="00E2243F" w:rsidRDefault="00F30A17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2243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Priority Areas</w:t>
            </w:r>
          </w:p>
        </w:tc>
        <w:tc>
          <w:tcPr>
            <w:tcW w:w="3543" w:type="dxa"/>
            <w:shd w:val="clear" w:color="auto" w:fill="BFBFBF" w:themeFill="background1" w:themeFillShade="BF"/>
            <w:vAlign w:val="center"/>
          </w:tcPr>
          <w:p w:rsidR="00F30A17" w:rsidRPr="00E2243F" w:rsidRDefault="00F30A17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2243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Eligible Applicants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:rsidR="00F30A17" w:rsidRPr="00E2243F" w:rsidRDefault="00F30A17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2243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Eligible Co-applicants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30A17" w:rsidRPr="00E2243F" w:rsidRDefault="00F30A17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2243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Total Budget (Euro)</w:t>
            </w:r>
          </w:p>
        </w:tc>
        <w:tc>
          <w:tcPr>
            <w:tcW w:w="1301" w:type="dxa"/>
            <w:shd w:val="clear" w:color="auto" w:fill="BFBFBF" w:themeFill="background1" w:themeFillShade="BF"/>
          </w:tcPr>
          <w:p w:rsidR="00F30A17" w:rsidRPr="00E2243F" w:rsidRDefault="00F30A17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2243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Deadline for Applications</w:t>
            </w:r>
          </w:p>
        </w:tc>
      </w:tr>
      <w:tr w:rsidR="00F30A17" w:rsidRPr="000D7395" w:rsidTr="00DA0A5E">
        <w:tc>
          <w:tcPr>
            <w:tcW w:w="3369" w:type="dxa"/>
          </w:tcPr>
          <w:p w:rsidR="00F30A17" w:rsidRPr="00E2243F" w:rsidRDefault="00F30A17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E224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 xml:space="preserve">Agriculture and Rural Development, </w:t>
            </w:r>
          </w:p>
          <w:p w:rsidR="00F30A17" w:rsidRPr="00E2243F" w:rsidRDefault="00F30A17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E224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 xml:space="preserve">Food Safety, Veterinary and </w:t>
            </w:r>
            <w:proofErr w:type="spellStart"/>
            <w:r w:rsidRPr="00E224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Phytosanitary</w:t>
            </w:r>
            <w:proofErr w:type="spellEnd"/>
            <w:r w:rsidRPr="00E224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,</w:t>
            </w:r>
          </w:p>
          <w:p w:rsidR="00F30A17" w:rsidRPr="00E2243F" w:rsidRDefault="00F30A17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E224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Fisheries</w:t>
            </w:r>
          </w:p>
        </w:tc>
        <w:tc>
          <w:tcPr>
            <w:tcW w:w="3543" w:type="dxa"/>
          </w:tcPr>
          <w:p w:rsidR="00F30A17" w:rsidRPr="00E2243F" w:rsidRDefault="00F30A17" w:rsidP="00E224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E224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Non-governmental Organisations (NGOs) </w:t>
            </w:r>
            <w:r w:rsidRPr="00E2243F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(Associations, foundations </w:t>
            </w:r>
          </w:p>
          <w:p w:rsidR="00F30A17" w:rsidRPr="00E2243F" w:rsidRDefault="00F30A17" w:rsidP="00A7647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2243F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federations and confederations of associations or foundations in Turkey; not-for-profit organizations in the EU Member States)</w:t>
            </w:r>
          </w:p>
        </w:tc>
        <w:tc>
          <w:tcPr>
            <w:tcW w:w="4678" w:type="dxa"/>
          </w:tcPr>
          <w:p w:rsidR="00F30A17" w:rsidRPr="00E2243F" w:rsidRDefault="00F30A17" w:rsidP="00E2243F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E224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Non-governmental Organisations (NGOs) </w:t>
            </w:r>
            <w:r w:rsidRPr="00E2243F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(Associations, foundations </w:t>
            </w:r>
          </w:p>
          <w:p w:rsidR="00E2243F" w:rsidRDefault="00F30A17" w:rsidP="00E2243F">
            <w:pPr>
              <w:ind w:left="459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E2243F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federations and confederations of associations or foundations in Turkey; not-for-profit organizations in the EU Member States), </w:t>
            </w:r>
          </w:p>
          <w:p w:rsidR="00F30A17" w:rsidRPr="00E2243F" w:rsidRDefault="00F30A17" w:rsidP="00E2243F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224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cooperatives, producers’ unions, exporters unions, chambers of agriculture, federations, confederations</w:t>
            </w:r>
          </w:p>
          <w:p w:rsidR="00F30A17" w:rsidRPr="00E2243F" w:rsidRDefault="00F30A17" w:rsidP="00A7647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F30A17" w:rsidRPr="00E2243F" w:rsidRDefault="00F30A17" w:rsidP="00A764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43F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301" w:type="dxa"/>
            <w:vAlign w:val="center"/>
          </w:tcPr>
          <w:p w:rsidR="00F30A17" w:rsidRPr="00E2243F" w:rsidRDefault="00F30A17" w:rsidP="00A764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5th </w:t>
            </w:r>
            <w:proofErr w:type="spellStart"/>
            <w:r w:rsidRPr="00E2243F">
              <w:rPr>
                <w:rFonts w:ascii="Times New Roman" w:eastAsia="Times New Roman" w:hAnsi="Times New Roman" w:cs="Times New Roman"/>
                <w:sz w:val="20"/>
                <w:szCs w:val="20"/>
              </w:rPr>
              <w:t>June</w:t>
            </w:r>
            <w:proofErr w:type="spellEnd"/>
            <w:r w:rsidRPr="00E22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2015</w:t>
            </w:r>
          </w:p>
        </w:tc>
      </w:tr>
    </w:tbl>
    <w:p w:rsidR="00F30A17" w:rsidRDefault="00F30A1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3544"/>
        <w:gridCol w:w="4394"/>
        <w:gridCol w:w="1134"/>
        <w:gridCol w:w="1301"/>
      </w:tblGrid>
      <w:tr w:rsidR="006C6533" w:rsidRPr="00DA0A5E" w:rsidTr="006C6533">
        <w:tc>
          <w:tcPr>
            <w:tcW w:w="14167" w:type="dxa"/>
            <w:gridSpan w:val="5"/>
            <w:shd w:val="clear" w:color="auto" w:fill="BFBFBF" w:themeFill="background1" w:themeFillShade="BF"/>
            <w:vAlign w:val="center"/>
          </w:tcPr>
          <w:p w:rsidR="006C6533" w:rsidRPr="00DA0A5E" w:rsidRDefault="006C6533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A0A5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 w:eastAsia="tr-TR"/>
              </w:rPr>
              <w:t>Education</w:t>
            </w:r>
            <w:r w:rsidRPr="00DA0A5E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val="en-GB" w:eastAsia="tr-TR"/>
              </w:rPr>
              <w:t xml:space="preserve"> Grant Scheme</w:t>
            </w:r>
          </w:p>
        </w:tc>
      </w:tr>
      <w:tr w:rsidR="006C6533" w:rsidRPr="00DA0A5E" w:rsidTr="00DA0A5E">
        <w:tc>
          <w:tcPr>
            <w:tcW w:w="3794" w:type="dxa"/>
            <w:shd w:val="clear" w:color="auto" w:fill="BFBFBF" w:themeFill="background1" w:themeFillShade="BF"/>
            <w:vAlign w:val="center"/>
          </w:tcPr>
          <w:p w:rsidR="006C6533" w:rsidRPr="00DA0A5E" w:rsidRDefault="006C6533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A0A5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Priority Areas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6C6533" w:rsidRPr="00DA0A5E" w:rsidRDefault="006C6533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A0A5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Eligible Applicants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:rsidR="006C6533" w:rsidRPr="00DA0A5E" w:rsidRDefault="006C6533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A0A5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Eligible Co-applicants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6C6533" w:rsidRPr="00DA0A5E" w:rsidRDefault="006C6533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A0A5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Total Budget (Euro)</w:t>
            </w:r>
          </w:p>
        </w:tc>
        <w:tc>
          <w:tcPr>
            <w:tcW w:w="1301" w:type="dxa"/>
            <w:shd w:val="clear" w:color="auto" w:fill="BFBFBF" w:themeFill="background1" w:themeFillShade="BF"/>
          </w:tcPr>
          <w:p w:rsidR="006C6533" w:rsidRPr="00DA0A5E" w:rsidRDefault="006C6533" w:rsidP="00A7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A0A5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Deadline for Applications</w:t>
            </w:r>
          </w:p>
        </w:tc>
      </w:tr>
      <w:tr w:rsidR="006C6533" w:rsidRPr="00DA0A5E" w:rsidTr="00DA0A5E">
        <w:tc>
          <w:tcPr>
            <w:tcW w:w="3794" w:type="dxa"/>
          </w:tcPr>
          <w:p w:rsidR="006C6533" w:rsidRPr="00DA0A5E" w:rsidRDefault="006C6533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DA0A5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Combatting with early school leaving,</w:t>
            </w:r>
          </w:p>
          <w:p w:rsidR="006C6533" w:rsidRPr="00DA0A5E" w:rsidRDefault="006C6533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DA0A5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Developing key competences for lifelong learning (such as digital competence, learning to learn, a sense of initiative and entrepreneurship),</w:t>
            </w:r>
          </w:p>
          <w:p w:rsidR="006C6533" w:rsidRPr="00DA0A5E" w:rsidRDefault="006C6533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DA0A5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Improving teachers professional and pedagogical development,</w:t>
            </w:r>
          </w:p>
          <w:p w:rsidR="006C6533" w:rsidRPr="00DA0A5E" w:rsidRDefault="006C6533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DA0A5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Pre-school education</w:t>
            </w:r>
          </w:p>
          <w:p w:rsidR="006C6533" w:rsidRPr="00DA0A5E" w:rsidRDefault="006C6533" w:rsidP="00A764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</w:pPr>
            <w:r w:rsidRPr="00DA0A5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tr-TR"/>
              </w:rPr>
              <w:t>Quality in adult learning</w:t>
            </w:r>
          </w:p>
        </w:tc>
        <w:tc>
          <w:tcPr>
            <w:tcW w:w="3544" w:type="dxa"/>
          </w:tcPr>
          <w:p w:rsidR="006C6533" w:rsidRPr="00DA0A5E" w:rsidRDefault="006C6533" w:rsidP="00DA0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DA0A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Non-governmental Organisations (NGOs) </w:t>
            </w:r>
            <w:r w:rsidRPr="00DA0A5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(Associations, foundations </w:t>
            </w:r>
          </w:p>
          <w:p w:rsidR="006C6533" w:rsidRPr="00DA0A5E" w:rsidRDefault="006C6533" w:rsidP="00A7647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0A5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federations and confederations of associations or foundations in Turkey; not-for-profit organizations in the EU Member States)</w:t>
            </w:r>
            <w:r w:rsidRPr="00DA0A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394" w:type="dxa"/>
          </w:tcPr>
          <w:p w:rsidR="00756AF8" w:rsidRDefault="006C6533" w:rsidP="00DA0A5E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DA0A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Non-governmental Organisations (NGOs) </w:t>
            </w:r>
            <w:r w:rsidRPr="00DA0A5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(Associations, foundations </w:t>
            </w:r>
            <w:r w:rsidR="00DA0A5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DA0A5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federations and confederations of associations or foundations in Turkey; not-for-profit organizations in the EU Member States), </w:t>
            </w:r>
          </w:p>
          <w:p w:rsidR="006C6533" w:rsidRPr="00DA0A5E" w:rsidRDefault="006C6533" w:rsidP="00DA0A5E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DA0A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universities, chambers </w:t>
            </w:r>
            <w:r w:rsidRPr="00DA0A5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(except for TOBB and EUROCHAMBERS members)</w:t>
            </w:r>
            <w:r w:rsidRPr="00DA0A5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, federations, confederations, unions</w:t>
            </w:r>
          </w:p>
        </w:tc>
        <w:tc>
          <w:tcPr>
            <w:tcW w:w="1134" w:type="dxa"/>
            <w:vAlign w:val="center"/>
          </w:tcPr>
          <w:p w:rsidR="006C6533" w:rsidRPr="00DA0A5E" w:rsidRDefault="006C6533" w:rsidP="00A764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A5E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301" w:type="dxa"/>
            <w:vAlign w:val="center"/>
          </w:tcPr>
          <w:p w:rsidR="006C6533" w:rsidRPr="00DA0A5E" w:rsidRDefault="006C6533" w:rsidP="006C65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A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1st </w:t>
            </w:r>
            <w:proofErr w:type="spellStart"/>
            <w:r w:rsidRPr="00DA0A5E">
              <w:rPr>
                <w:rFonts w:ascii="Times New Roman" w:eastAsia="Times New Roman" w:hAnsi="Times New Roman" w:cs="Times New Roman"/>
                <w:sz w:val="20"/>
                <w:szCs w:val="20"/>
              </w:rPr>
              <w:t>June</w:t>
            </w:r>
            <w:proofErr w:type="spellEnd"/>
            <w:r w:rsidRPr="00DA0A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2015</w:t>
            </w:r>
          </w:p>
        </w:tc>
      </w:tr>
    </w:tbl>
    <w:p w:rsidR="00041764" w:rsidRPr="002661A7" w:rsidRDefault="0004176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041764" w:rsidRPr="002661A7" w:rsidSect="00AD73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F11" w:rsidRDefault="002E0F11" w:rsidP="001C4075">
      <w:pPr>
        <w:spacing w:after="0" w:line="240" w:lineRule="auto"/>
      </w:pPr>
      <w:r>
        <w:separator/>
      </w:r>
    </w:p>
  </w:endnote>
  <w:endnote w:type="continuationSeparator" w:id="0">
    <w:p w:rsidR="002E0F11" w:rsidRDefault="002E0F11" w:rsidP="001C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F11" w:rsidRDefault="002E0F11" w:rsidP="001C4075">
      <w:pPr>
        <w:spacing w:after="0" w:line="240" w:lineRule="auto"/>
      </w:pPr>
      <w:r>
        <w:separator/>
      </w:r>
    </w:p>
  </w:footnote>
  <w:footnote w:type="continuationSeparator" w:id="0">
    <w:p w:rsidR="002E0F11" w:rsidRDefault="002E0F11" w:rsidP="001C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0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3"/>
      <w:gridCol w:w="7777"/>
    </w:tblGrid>
    <w:tr w:rsidR="001C4075" w:rsidRPr="00670CB9" w:rsidTr="004A4218">
      <w:trPr>
        <w:trHeight w:val="845"/>
        <w:jc w:val="center"/>
      </w:trPr>
      <w:tc>
        <w:tcPr>
          <w:tcW w:w="1293" w:type="dxa"/>
          <w:hideMark/>
        </w:tcPr>
        <w:p w:rsidR="001C4075" w:rsidRPr="00670CB9" w:rsidRDefault="00CD273F" w:rsidP="00813D65">
          <w:pPr>
            <w:pStyle w:val="Header"/>
            <w:tabs>
              <w:tab w:val="left" w:pos="708"/>
            </w:tabs>
            <w:jc w:val="both"/>
            <w:rPr>
              <w:lang w:eastAsia="tr-TR"/>
            </w:rPr>
          </w:pPr>
          <w:r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4499F893" wp14:editId="61E20441">
                <wp:extent cx="819785" cy="741680"/>
                <wp:effectExtent l="0" t="0" r="0" b="127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7" w:type="dxa"/>
          <w:vAlign w:val="center"/>
          <w:hideMark/>
        </w:tcPr>
        <w:p w:rsidR="001C4075" w:rsidRPr="00A66AF7" w:rsidRDefault="001C4075" w:rsidP="00813D65">
          <w:pPr>
            <w:pStyle w:val="Heading6"/>
            <w:rPr>
              <w:sz w:val="24"/>
              <w:szCs w:val="24"/>
              <w:lang w:val="en-GB"/>
            </w:rPr>
          </w:pPr>
          <w:r w:rsidRPr="00A66AF7">
            <w:rPr>
              <w:sz w:val="24"/>
              <w:szCs w:val="24"/>
              <w:lang w:val="en-GB"/>
            </w:rPr>
            <w:t>REPUBLIC OF TURKEY</w:t>
          </w:r>
        </w:p>
        <w:p w:rsidR="001C4075" w:rsidRPr="00A66AF7" w:rsidRDefault="001C4075" w:rsidP="00813D65">
          <w:pPr>
            <w:pStyle w:val="Heading6"/>
            <w:rPr>
              <w:sz w:val="24"/>
              <w:szCs w:val="24"/>
              <w:lang w:val="en-GB"/>
            </w:rPr>
          </w:pPr>
          <w:r w:rsidRPr="00A66AF7">
            <w:rPr>
              <w:sz w:val="24"/>
              <w:szCs w:val="24"/>
              <w:lang w:val="en-GB"/>
            </w:rPr>
            <w:t>MINISTRY FOR EU AFFAIRS</w:t>
          </w:r>
        </w:p>
      </w:tc>
    </w:tr>
  </w:tbl>
  <w:p w:rsidR="001C4075" w:rsidRDefault="001C40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B5773"/>
    <w:multiLevelType w:val="hybridMultilevel"/>
    <w:tmpl w:val="C35667BA"/>
    <w:lvl w:ilvl="0" w:tplc="5ED479EC">
      <w:start w:val="2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B7247"/>
    <w:multiLevelType w:val="hybridMultilevel"/>
    <w:tmpl w:val="BB9CBE34"/>
    <w:lvl w:ilvl="0" w:tplc="5ED479EC">
      <w:start w:val="2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555D"/>
    <w:multiLevelType w:val="hybridMultilevel"/>
    <w:tmpl w:val="495258F8"/>
    <w:lvl w:ilvl="0" w:tplc="5ED479EC">
      <w:start w:val="2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40E66"/>
    <w:multiLevelType w:val="hybridMultilevel"/>
    <w:tmpl w:val="3992F8E8"/>
    <w:lvl w:ilvl="0" w:tplc="7DD03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6D748D"/>
    <w:multiLevelType w:val="hybridMultilevel"/>
    <w:tmpl w:val="E9226B10"/>
    <w:lvl w:ilvl="0" w:tplc="5ED479EC">
      <w:start w:val="2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A0139"/>
    <w:multiLevelType w:val="hybridMultilevel"/>
    <w:tmpl w:val="293C3DDA"/>
    <w:lvl w:ilvl="0" w:tplc="5ED479EC">
      <w:start w:val="2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47227"/>
    <w:multiLevelType w:val="hybridMultilevel"/>
    <w:tmpl w:val="7602904C"/>
    <w:lvl w:ilvl="0" w:tplc="5ED479EC">
      <w:start w:val="2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B416F"/>
    <w:multiLevelType w:val="hybridMultilevel"/>
    <w:tmpl w:val="E8FEDE78"/>
    <w:lvl w:ilvl="0" w:tplc="5ED479EC">
      <w:start w:val="2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3054FF"/>
    <w:multiLevelType w:val="hybridMultilevel"/>
    <w:tmpl w:val="E5662C56"/>
    <w:lvl w:ilvl="0" w:tplc="5ED479EC">
      <w:start w:val="2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630A7C"/>
    <w:multiLevelType w:val="hybridMultilevel"/>
    <w:tmpl w:val="F2DECD14"/>
    <w:lvl w:ilvl="0" w:tplc="5ED479EC">
      <w:start w:val="23"/>
      <w:numFmt w:val="bullet"/>
      <w:lvlText w:val="-"/>
      <w:lvlJc w:val="left"/>
      <w:pPr>
        <w:ind w:left="360" w:hanging="360"/>
      </w:pPr>
      <w:rPr>
        <w:rFonts w:ascii="TimesNewRoman" w:eastAsia="Times New Roman" w:hAnsi="TimesNewRoman" w:hint="default"/>
      </w:rPr>
    </w:lvl>
    <w:lvl w:ilvl="1" w:tplc="B536757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DD033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E43BC4"/>
    <w:multiLevelType w:val="hybridMultilevel"/>
    <w:tmpl w:val="38E28B16"/>
    <w:lvl w:ilvl="0" w:tplc="5ED479EC">
      <w:start w:val="2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0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79"/>
    <w:rsid w:val="00041764"/>
    <w:rsid w:val="00050AA0"/>
    <w:rsid w:val="000A481A"/>
    <w:rsid w:val="000A701D"/>
    <w:rsid w:val="000D66FE"/>
    <w:rsid w:val="000E0CE8"/>
    <w:rsid w:val="001802D2"/>
    <w:rsid w:val="001C4075"/>
    <w:rsid w:val="001E1E65"/>
    <w:rsid w:val="0025396A"/>
    <w:rsid w:val="002661A7"/>
    <w:rsid w:val="002861C9"/>
    <w:rsid w:val="002E0F11"/>
    <w:rsid w:val="003C6AD0"/>
    <w:rsid w:val="003E2DFC"/>
    <w:rsid w:val="004A4218"/>
    <w:rsid w:val="005E401E"/>
    <w:rsid w:val="0063269B"/>
    <w:rsid w:val="006C6533"/>
    <w:rsid w:val="0073616A"/>
    <w:rsid w:val="00756AF8"/>
    <w:rsid w:val="007C6769"/>
    <w:rsid w:val="00834FD8"/>
    <w:rsid w:val="00883ED3"/>
    <w:rsid w:val="00886468"/>
    <w:rsid w:val="00903D7B"/>
    <w:rsid w:val="00915F74"/>
    <w:rsid w:val="00922A79"/>
    <w:rsid w:val="009D5B5C"/>
    <w:rsid w:val="00A64C86"/>
    <w:rsid w:val="00AD73DA"/>
    <w:rsid w:val="00B065A0"/>
    <w:rsid w:val="00BC08B7"/>
    <w:rsid w:val="00BD295C"/>
    <w:rsid w:val="00CD273F"/>
    <w:rsid w:val="00D0157E"/>
    <w:rsid w:val="00D40B4A"/>
    <w:rsid w:val="00DA0A5E"/>
    <w:rsid w:val="00DD1C3C"/>
    <w:rsid w:val="00DE32D6"/>
    <w:rsid w:val="00E2243F"/>
    <w:rsid w:val="00E678A5"/>
    <w:rsid w:val="00EC5F2F"/>
    <w:rsid w:val="00F3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F29DBF-DC02-41BB-97B2-64277DFD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nhideWhenUsed/>
    <w:qFormat/>
    <w:rsid w:val="001C4075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/>
      <w:sz w:val="28"/>
      <w:szCs w:val="20"/>
      <w:lang w:val="x-none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95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1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1764"/>
    <w:pPr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3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D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D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C4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C4075"/>
  </w:style>
  <w:style w:type="paragraph" w:styleId="Footer">
    <w:name w:val="footer"/>
    <w:basedOn w:val="Normal"/>
    <w:link w:val="FooterChar"/>
    <w:uiPriority w:val="99"/>
    <w:unhideWhenUsed/>
    <w:rsid w:val="001C4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075"/>
  </w:style>
  <w:style w:type="character" w:customStyle="1" w:styleId="Heading6Char">
    <w:name w:val="Heading 6 Char"/>
    <w:basedOn w:val="DefaultParagraphFont"/>
    <w:link w:val="Heading6"/>
    <w:rsid w:val="001C4075"/>
    <w:rPr>
      <w:rFonts w:ascii="Times New Roman" w:eastAsia="Arial Unicode MS" w:hAnsi="Times New Roman" w:cs="Times New Roman"/>
      <w:b/>
      <w:sz w:val="28"/>
      <w:szCs w:val="20"/>
      <w:lang w:val="x-none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3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fcu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1368</Words>
  <Characters>7801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Karakulak</dc:creator>
  <cp:lastModifiedBy>Ersoy Yılmaz</cp:lastModifiedBy>
  <cp:revision>2</cp:revision>
  <dcterms:created xsi:type="dcterms:W3CDTF">2015-03-20T08:40:00Z</dcterms:created>
  <dcterms:modified xsi:type="dcterms:W3CDTF">2015-03-20T08:40:00Z</dcterms:modified>
</cp:coreProperties>
</file>